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文件编号：WI-ED-005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计量器具管理作业指导书</w:t>
      </w:r>
    </w:p>
    <w:p/>
    <w:p>
      <w:pPr>
        <w:pStyle w:val="Heading1"/>
      </w:pPr>
      <w:r>
        <w:t>1. 目的</w:t>
      </w:r>
    </w:p>
    <w:p>
      <w:r>
        <w:t>规范计量器具管理。</w:t>
      </w:r>
    </w:p>
    <w:p/>
    <w:p>
      <w:pPr>
        <w:pStyle w:val="Heading1"/>
      </w:pPr>
      <w:r>
        <w:t>2. 范围</w:t>
      </w:r>
    </w:p>
    <w:p>
      <w:r>
        <w:t>适用于所有计量器具。</w:t>
      </w:r>
    </w:p>
    <w:p/>
    <w:p>
      <w:pPr>
        <w:pStyle w:val="Heading1"/>
      </w:pPr>
      <w:r>
        <w:t>3. 采购验收</w:t>
      </w:r>
    </w:p>
    <w:p>
      <w:r>
        <w:t>新购计量器具需验收合格。</w:t>
      </w:r>
    </w:p>
    <w:p/>
    <w:p>
      <w:pPr>
        <w:pStyle w:val="Heading1"/>
      </w:pPr>
      <w:r>
        <w:t>4. 校准管理</w:t>
      </w:r>
    </w:p>
    <w:p>
      <w:pPr>
        <w:pStyle w:val="ListBullet"/>
      </w:pPr>
      <w:r>
        <w:t>建立校准计划</w:t>
      </w:r>
    </w:p>
    <w:p>
      <w:pPr>
        <w:pStyle w:val="ListBullet"/>
      </w:pPr>
      <w:r>
        <w:t>按期送检</w:t>
      </w:r>
    </w:p>
    <w:p>
      <w:pPr>
        <w:pStyle w:val="ListBullet"/>
      </w:pPr>
      <w:r>
        <w:t>确认校准结果</w:t>
      </w:r>
    </w:p>
    <w:p>
      <w:pPr>
        <w:pStyle w:val="ListBullet"/>
      </w:pPr>
      <w:r>
        <w:t>贴校准标识</w:t>
      </w:r>
    </w:p>
    <w:p/>
    <w:p>
      <w:pPr>
        <w:pStyle w:val="Heading1"/>
      </w:pPr>
      <w:r>
        <w:t>5. 使用管理</w:t>
      </w:r>
    </w:p>
    <w:p>
      <w:pPr>
        <w:pStyle w:val="ListBullet"/>
      </w:pPr>
      <w:r>
        <w:t>正确使用</w:t>
      </w:r>
    </w:p>
    <w:p>
      <w:pPr>
        <w:pStyle w:val="ListBullet"/>
      </w:pPr>
      <w:r>
        <w:t>妥善保管</w:t>
      </w:r>
    </w:p>
    <w:p>
      <w:pPr>
        <w:pStyle w:val="ListBullet"/>
      </w:pPr>
      <w:r>
        <w:t>定期核查</w:t>
      </w:r>
    </w:p>
    <w:p/>
    <w:p>
      <w:pPr>
        <w:pStyle w:val="Heading1"/>
      </w:pPr>
      <w:r>
        <w:t>6. 失准处理</w:t>
      </w:r>
    </w:p>
    <w:p>
      <w:r>
        <w:t>发现失准立即停用，评估先前测量结果。</w:t>
      </w:r>
    </w:p>
    <w:p/>
    <w:p>
      <w:pPr>
        <w:pStyle w:val="Heading1"/>
      </w:pPr>
      <w:r>
        <w:t>7. 记录</w:t>
      </w:r>
    </w:p>
    <w:p>
      <w:r>
        <w:t>填写《计量器具台账》（FM-110）。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